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B4" w:rsidRDefault="00C16146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eastAsia="zh-CN"/>
        </w:rPr>
        <w:t>Наименование органа управления образованием</w:t>
      </w:r>
    </w:p>
    <w:p w:rsidR="00C40BB4" w:rsidRDefault="00C16146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  <w:t xml:space="preserve">Полное название образовательной организации, </w:t>
      </w:r>
    </w:p>
    <w:p w:rsidR="00C40BB4" w:rsidRDefault="00C16146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  <w:t xml:space="preserve">реализующей дополнительную общеобразовательную программу </w:t>
      </w:r>
    </w:p>
    <w:p w:rsidR="00C40BB4" w:rsidRDefault="00C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14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  <w:gridCol w:w="4670"/>
      </w:tblGrid>
      <w:tr w:rsidR="00C40BB4">
        <w:tc>
          <w:tcPr>
            <w:tcW w:w="4670" w:type="dxa"/>
          </w:tcPr>
          <w:p w:rsidR="00C40BB4" w:rsidRDefault="00C16146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Принята на заседании </w:t>
            </w:r>
          </w:p>
          <w:p w:rsidR="00C40BB4" w:rsidRDefault="00C16146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Педагогического совета</w:t>
            </w:r>
          </w:p>
          <w:p w:rsidR="00C40BB4" w:rsidRDefault="00C1614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Протокол № ____ </w:t>
            </w:r>
          </w:p>
          <w:p w:rsidR="00C40BB4" w:rsidRDefault="00C16146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от «____» ________ 20___ года</w:t>
            </w:r>
          </w:p>
        </w:tc>
        <w:tc>
          <w:tcPr>
            <w:tcW w:w="4670" w:type="dxa"/>
          </w:tcPr>
          <w:p w:rsidR="00C40BB4" w:rsidRDefault="00C1614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«Утверждаю»</w:t>
            </w:r>
          </w:p>
          <w:p w:rsidR="00C40BB4" w:rsidRDefault="00C1614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Руководитель </w:t>
            </w:r>
          </w:p>
          <w:p w:rsidR="00C40BB4" w:rsidRDefault="00C1614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образовательной организации</w:t>
            </w:r>
          </w:p>
          <w:p w:rsidR="00C40BB4" w:rsidRDefault="00C1614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Courier New" w:hAnsiTheme="majorBidi" w:cstheme="majorBid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52070</wp:posOffset>
                      </wp:positionV>
                      <wp:extent cx="914400" cy="914400"/>
                      <wp:effectExtent l="11430" t="12700" r="7620" b="15875"/>
                      <wp:wrapNone/>
                      <wp:docPr id="1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custGeom>
                                <a:avLst/>
                                <a:gdLst>
                                  <a:gd name="T0" fmla="*/ 914250 w 914400"/>
                                  <a:gd name="T1" fmla="*/ 468919 h 914400"/>
                                  <a:gd name="T2" fmla="*/ 448410 w 914400"/>
                                  <a:gd name="T3" fmla="*/ 914315 h 914400"/>
                                  <a:gd name="T4" fmla="*/ 37 w 914400"/>
                                  <a:gd name="T5" fmla="*/ 451339 h 914400"/>
                                  <a:gd name="T6" fmla="*/ 460130 w 914400"/>
                                  <a:gd name="T7" fmla="*/ 8 h 914400"/>
                                  <a:gd name="T8" fmla="*/ 914400 w 914400"/>
                                  <a:gd name="T9" fmla="*/ 457199 h 9144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14400" h="914400" stroke="0" extrusionOk="0">
                                    <a:moveTo>
                                      <a:pt x="914250" y="468919"/>
                                    </a:moveTo>
                                    <a:cubicBezTo>
                                      <a:pt x="907807" y="720197"/>
                                      <a:pt x="699725" y="919148"/>
                                      <a:pt x="448410" y="914315"/>
                                    </a:cubicBezTo>
                                    <a:cubicBezTo>
                                      <a:pt x="197095" y="909482"/>
                                      <a:pt x="-3184" y="702680"/>
                                      <a:pt x="37" y="451339"/>
                                    </a:cubicBezTo>
                                    <a:cubicBezTo>
                                      <a:pt x="3259" y="199999"/>
                                      <a:pt x="208774" y="-1602"/>
                                      <a:pt x="460130" y="8"/>
                                    </a:cubicBezTo>
                                    <a:cubicBezTo>
                                      <a:pt x="711486" y="1619"/>
                                      <a:pt x="914400" y="205838"/>
                                      <a:pt x="914400" y="457199"/>
                                    </a:cubicBezTo>
                                    <a:lnTo>
                                      <a:pt x="457200" y="457200"/>
                                    </a:lnTo>
                                    <a:lnTo>
                                      <a:pt x="914250" y="468919"/>
                                    </a:lnTo>
                                    <a:close/>
                                  </a:path>
                                  <a:path w="914400" h="914400" fill="none" extrusionOk="0">
                                    <a:moveTo>
                                      <a:pt x="914250" y="468919"/>
                                    </a:moveTo>
                                    <a:cubicBezTo>
                                      <a:pt x="907807" y="720197"/>
                                      <a:pt x="699725" y="919148"/>
                                      <a:pt x="448410" y="914315"/>
                                    </a:cubicBezTo>
                                    <a:cubicBezTo>
                                      <a:pt x="197095" y="909482"/>
                                      <a:pt x="-3184" y="702680"/>
                                      <a:pt x="37" y="451339"/>
                                    </a:cubicBezTo>
                                    <a:cubicBezTo>
                                      <a:pt x="3259" y="199999"/>
                                      <a:pt x="208774" y="-1602"/>
                                      <a:pt x="460130" y="8"/>
                                    </a:cubicBezTo>
                                    <a:cubicBezTo>
                                      <a:pt x="711486" y="1619"/>
                                      <a:pt x="914400" y="205838"/>
                                      <a:pt x="914400" y="45719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0" o:spid="_x0000_s0" style="position:absolute;z-index:251659264;o:allowoverlap:true;o:allowincell:true;mso-position-horizontal-relative:text;margin-left:68.45pt;mso-position-horizontal:absolute;mso-position-vertical-relative:text;margin-top:4.10pt;mso-position-vertical:absolute;width:72.00pt;height:72.00pt;mso-wrap-distance-left:9.00pt;mso-wrap-distance-top:0.00pt;mso-wrap-distance-right:9.00pt;mso-wrap-distance-bottom:0.00pt;visibility:visible;" path="m99981,51280l99981,51280c99278,78762,76521,100519,49037,99988l49037,99988c21553,99461,-346,76845,2,49359l2,49359c354,21870,22831,-173,50319,0l50319,0c77808,176,100000,22509,100000,49998l50000,50000l99981,51280xnsem99981,51280l99981,51280c99278,78762,76521,100519,49037,99988l49037,99988c21553,99461,-346,76845,2,49359l2,49359c354,21870,22831,-173,50319,0l50319,0c77808,176,100000,22509,100000,49998nfe" coordsize="100000,100000" filled="f" strokecolor="#4A7EBB" strokeweight="0.75pt">
                      <v:path textboxrect="0,0,100000,100000"/>
                    </v:shape>
                  </w:pict>
                </mc:Fallback>
              </mc:AlternateContent>
            </w:r>
          </w:p>
          <w:p w:rsidR="00C40BB4" w:rsidRDefault="00C1614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___________ ФИО </w:t>
            </w:r>
          </w:p>
          <w:p w:rsidR="00C40BB4" w:rsidRDefault="00C16146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печать</w:t>
            </w:r>
          </w:p>
          <w:p w:rsidR="00C40BB4" w:rsidRDefault="00C16146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Приказ № ____ от</w:t>
            </w:r>
          </w:p>
          <w:p w:rsidR="00C40BB4" w:rsidRDefault="00C1614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«____» ________ 20___ года</w:t>
            </w:r>
          </w:p>
        </w:tc>
        <w:tc>
          <w:tcPr>
            <w:tcW w:w="4670" w:type="dxa"/>
          </w:tcPr>
          <w:p w:rsidR="00C40BB4" w:rsidRDefault="00C40BB4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40BB4" w:rsidRDefault="00C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1614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C40BB4" w:rsidRDefault="00C40BB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BB4" w:rsidRDefault="00C161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«Изучая мир вокруг себя: </w:t>
      </w:r>
    </w:p>
    <w:p w:rsidR="00C40BB4" w:rsidRDefault="00C161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исследовательское краеведение»</w:t>
      </w:r>
    </w:p>
    <w:p w:rsidR="00C40BB4" w:rsidRDefault="00C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программы: туристско-краеведческая</w:t>
      </w:r>
    </w:p>
    <w:p w:rsidR="00AF2059" w:rsidRDefault="00AF2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программы: стартовый</w:t>
      </w:r>
    </w:p>
    <w:p w:rsidR="00AF2059" w:rsidRDefault="00AF2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12–18 лет</w:t>
      </w:r>
    </w:p>
    <w:p w:rsidR="00AF2059" w:rsidRDefault="00AF2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9 месяцев </w:t>
      </w:r>
    </w:p>
    <w:p w:rsidR="00C40BB4" w:rsidRDefault="00C40BB4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16146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Авторы-составители программы:</w:t>
      </w:r>
    </w:p>
    <w:p w:rsidR="00C40BB4" w:rsidRDefault="00C40BB4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ind w:hanging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ind w:hanging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ind w:hanging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40BB4">
      <w:pPr>
        <w:spacing w:after="0" w:line="240" w:lineRule="auto"/>
        <w:ind w:hanging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B4" w:rsidRDefault="00C16146">
      <w:pPr>
        <w:spacing w:after="0" w:line="240" w:lineRule="auto"/>
        <w:ind w:hanging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год</w:t>
      </w:r>
    </w:p>
    <w:p w:rsidR="00C40BB4" w:rsidRDefault="00C40BB4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0BB4">
          <w:footerReference w:type="default" r:id="rId7"/>
          <w:pgSz w:w="11901" w:h="16817"/>
          <w:pgMar w:top="1134" w:right="567" w:bottom="1134" w:left="1701" w:header="0" w:footer="414" w:gutter="0"/>
          <w:pgNumType w:start="1"/>
          <w:cols w:space="720"/>
          <w:titlePg/>
          <w:docGrid w:linePitch="360"/>
        </w:sectPr>
      </w:pPr>
    </w:p>
    <w:p w:rsidR="00C40BB4" w:rsidRDefault="00C1614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7052E" w:rsidRDefault="0057052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туристско-краеведческой направленности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Изучая мир вокруг себя: введение в исследовательское краеведение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стартового уровня разработана для учащихся 5–11-х классов.</w:t>
      </w:r>
    </w:p>
    <w:p w:rsidR="00C40BB4" w:rsidRDefault="00C16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Нормативно-правовой аспект:</w:t>
      </w:r>
    </w:p>
    <w:p w:rsidR="00C40BB4" w:rsidRDefault="00C16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    Нормативно-правовую основу для разработки дополнительной общеобразовательной программы составляют:</w:t>
      </w:r>
    </w:p>
    <w:p w:rsidR="00C40BB4" w:rsidRDefault="00C16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Федеральный закон от 29.12.2012 № 273 – ФЗ «Об образовании в Российской Федерации»;</w:t>
      </w:r>
    </w:p>
    <w:p w:rsidR="00C40BB4" w:rsidRDefault="00C16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40BB4" w:rsidRDefault="00C16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Санитарные правила и нормы СанПиН 1.2.3685 – 21 «Гигиенические нормативы и требования к обеспечению безопасности и (или) безвредности для человека факторов среды обитания;</w:t>
      </w:r>
    </w:p>
    <w:p w:rsidR="00C40BB4" w:rsidRDefault="00C16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Постановление Главного государственного санитарного врача Российской Федерации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40BB4" w:rsidRDefault="00C16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«Методические рекомендации по проектированию дополнительных общеразвивающих программ (включая разно - уровневые программы)» (письмо Министерства образования и науки России от 18.11.2015 № 09-3242).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и педагогическая целесообразность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 обучения и воспитания подростков гораздо более эффективны, если они происходят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основе: в процессе выполнения учебно-исследовательских работ, самостоятельных исследований в контексте реализации собственных интересов учащихся в привязке к объектам из «ближнего мира», того пространства, которое окружает самих учащихся. Программа нацелена на развитие исследовательской позиции учащихся по отношению к миру вокруг себя, по освоению методов исследования для реализации познавательной активности в соответствии с культурными нормами соответствующих наук. Исследовательская позиция — значимое личностное основание, исходя из которого человек не просто активно реагирует на изменения, происходящие в мире, но и испытывает потребность искать новое. Исследовательская позиция проявляется и развивается в ходе исследовательской деятельности. Исследовательская деятельность выступает как условие развития личности, ее духовности.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Именно исследовательская позиция помогает становлению уникального в нас. По своей феноменологии исследование базируется на биологических предпосылках (исследовательская активность, исследовательское реагирование, исследовательское поведение), разворачивается посредством социокультурных детерминант (контексты, нормы и средства осуществления исследовательской деятельности) и опирается на внутреннюю позицию (способность искать и осознавать проблемы; осознанно, активно и конструктивно реагировать на проблемные ситуации, формировать исследовательское отношение к окружающему миру). 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неопределенности, новизны активизируют исследовательскую деятельность, поэтому она особо значима для человека в условиях постоянно изменяющихся реалий мира. В современном мире при выстраивании условий для развития личности невозможно опираться только на репродуктивный путь. Стереотипы действий, стабильность условий развития, сохранность культурных традиций — необходимые контексты для устойчивого развития личности. Однако в современном быстро меняющемся мире они уже не являются основными в системе воспитания и образования. Сегодня для успешной и активной жизни для человека принципиально важно занимать по отношению к миру, другим и самому себе исследовательскую позицию. Личность развивается в деятельности. Присвоение алгоритмов и норм исследовательской деятельности должно быть направлено на переустройство мировоззрения, внутренней позиции личности. Именно благодаря развитию исследовательской позиции человек получает возможность самостоятельно решать проблемные ситуации, выстраивать свой путь в этом мире. 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также направлена на подготовку к экспедиционным исследованиям или к участию в выездной исследовательской школе. Поездки в экспедиции способствуют социализации вступающего в жизнь человека, его самоопределению. К нему приходит понимание собственного места в обществе, неразрывности его связи с прошлым и своими историческими корнями, понимание того, что развитие истории, культуры малых сел, бережное отношение к природному наследию есть часть развития мировой цивилизации.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вопросов экологии, региональной культуры, краеведения в наше время необходимо, ибо без этого нельзя воспитать гармонично развитую личность, способную любить свое Отечество, уважать людей, живущих рядом, тактично вести себя в любой обстановке, умеющую отвечать за свои поступки, проявлять и показывать свои творческие способности, осознавать свою роль и определять активную позицию в обществе.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в части подготовки к экспедиции подразумевает овладение элементарными туристскими навыками, позволяющими свободно жить и ориентироваться в природе, и применение их на практике в рамках экспедиционных выходов.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 задачи программы 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учащихся в исследовательское краеведение — исследовательскую и проектную деятельность по изучению различных объектов на местности.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 программы: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дать представление о типологии исследований, структуре и технологии реализации исследовательской деятельности;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обучение методам краеведческой работы;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освоение основ ориентирования на местности;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исследовательских способностей и исследовательской позиции по отношению к окружающему миру;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усовершенствование личной и командной работы в организации быта и путешествия;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исследовательской культуры и этики отношений в командной работе и исследовательской деятельности;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коммуникативных навыков в подростковом коллективе в полевых условиях.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Категория обучающихся.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рассчитана на подростков 12–18 лет.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Срок реализации программы: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 месяцев. Объем программы — 60 часов.</w:t>
      </w:r>
    </w:p>
    <w:p w:rsidR="00C40BB4" w:rsidRDefault="00C40B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организации образовательной деятельности и режим занятий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Зачисление в учебные группы осуществляется по желанию учащегося, на основании его заявления или родителя/законного представителя, без предварительного отбора и требований к уровню подготовки.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основная форма обучение 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— очная, групповая. Наполняемость группы — до 25 человек.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еженедельно по 2 часа с обязательным 10–15-минутным перерывом после каждых 45 минут занятия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Arial Unicode MS" w:hAnsi="Times New Roman" w:cs="Times New Roman"/>
          <w:spacing w:val="-2"/>
          <w:sz w:val="28"/>
          <w:szCs w:val="28"/>
          <w:lang w:eastAsia="ar-SA"/>
        </w:rPr>
        <w:t>соответствии с СанПиН</w:t>
      </w:r>
      <w:proofErr w:type="gramEnd"/>
      <w:r>
        <w:rPr>
          <w:rFonts w:ascii="Times New Roman" w:eastAsia="Arial Unicode MS" w:hAnsi="Times New Roman" w:cs="Times New Roman"/>
          <w:spacing w:val="-2"/>
          <w:sz w:val="28"/>
          <w:szCs w:val="28"/>
          <w:lang w:eastAsia="ar-SA"/>
        </w:rPr>
        <w:t xml:space="preserve"> 2.4.4.3172-14 (постановление Главного государственного санитарного </w:t>
      </w:r>
      <w:r>
        <w:rPr>
          <w:rFonts w:ascii="Times New Roman" w:eastAsia="Arial Unicode MS" w:hAnsi="Times New Roman" w:cs="Times New Roman"/>
          <w:spacing w:val="-2"/>
          <w:sz w:val="28"/>
          <w:szCs w:val="28"/>
          <w:lang w:eastAsia="ar-SA"/>
        </w:rPr>
        <w:lastRenderedPageBreak/>
        <w:t xml:space="preserve">врача РФ от 4 июля 2014 г. № 41) (всего 48 часов) и два однодневных выезда (или один двухдневный) по подготовке к экспедиции (12 часов). 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spacing w:val="-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spacing w:val="-2"/>
          <w:sz w:val="28"/>
          <w:szCs w:val="28"/>
          <w:lang w:eastAsia="ar-SA"/>
        </w:rPr>
        <w:t>Формы организации занятий: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тренинг; 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практическая работа;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круглый стол;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презентация работ;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семинар.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Прогнозируемые (ожидаемые) результаты реализации программы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окончании обучения учащиеся: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будут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знать и понимать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логику построения и реализации исследовательской деятельности;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отработают основные этапы исследования (замысел – реализация – рефлексия);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будут ориентироваться в терминологии, связанной с исследовательской деятельностью;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овладеют первичными методами исследования в соответствии с избранной предметностью; 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получат опыт в проведении исследования, локализованного на местности;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будут знакомы с основами пешего туризма; владеть первичным объемом топографических знаков, освоят правила ориентирования по топографической карте.</w:t>
      </w:r>
    </w:p>
    <w:p w:rsidR="00C40BB4" w:rsidRDefault="00C40B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BB4" w:rsidRDefault="00C161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(тематический) план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993"/>
        <w:gridCol w:w="1446"/>
        <w:gridCol w:w="2410"/>
      </w:tblGrid>
      <w:tr w:rsidR="00C40BB4">
        <w:tc>
          <w:tcPr>
            <w:tcW w:w="568" w:type="dxa"/>
            <w:vMerge w:val="restart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260" w:type="dxa"/>
            <w:vMerge w:val="restart"/>
          </w:tcPr>
          <w:p w:rsidR="00C40BB4" w:rsidRDefault="00C16146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Названия разделов и тема</w:t>
            </w:r>
          </w:p>
        </w:tc>
        <w:tc>
          <w:tcPr>
            <w:tcW w:w="3289" w:type="dxa"/>
            <w:gridSpan w:val="3"/>
          </w:tcPr>
          <w:p w:rsidR="00C40BB4" w:rsidRDefault="00C16146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C40BB4" w:rsidRDefault="00C16146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Формы аттестации / контроля</w:t>
            </w:r>
          </w:p>
        </w:tc>
      </w:tr>
      <w:tr w:rsidR="00C40BB4">
        <w:tc>
          <w:tcPr>
            <w:tcW w:w="568" w:type="dxa"/>
            <w:vMerge/>
          </w:tcPr>
          <w:p w:rsidR="00C40BB4" w:rsidRDefault="00C40BB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</w:tcPr>
          <w:p w:rsidR="00C40BB4" w:rsidRDefault="00C40BB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993" w:type="dxa"/>
          </w:tcPr>
          <w:p w:rsidR="00C40BB4" w:rsidRDefault="00C16146">
            <w:pPr>
              <w:spacing w:after="0"/>
              <w:ind w:right="-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46" w:type="dxa"/>
          </w:tcPr>
          <w:p w:rsidR="00C40BB4" w:rsidRDefault="00C161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410" w:type="dxa"/>
            <w:vMerge/>
          </w:tcPr>
          <w:p w:rsidR="00C40BB4" w:rsidRDefault="00C40BB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40BB4">
        <w:tc>
          <w:tcPr>
            <w:tcW w:w="568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Беседа-диалог с тестированием</w:t>
            </w:r>
          </w:p>
        </w:tc>
      </w:tr>
      <w:tr w:rsidR="00C40BB4">
        <w:tc>
          <w:tcPr>
            <w:tcW w:w="568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Рождение замысла исследования на местности</w:t>
            </w:r>
          </w:p>
        </w:tc>
        <w:tc>
          <w:tcPr>
            <w:tcW w:w="850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10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замысла</w:t>
            </w:r>
          </w:p>
        </w:tc>
      </w:tr>
      <w:tr w:rsidR="00C40BB4">
        <w:tc>
          <w:tcPr>
            <w:tcW w:w="568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Планирование реализации исследования</w:t>
            </w:r>
          </w:p>
        </w:tc>
        <w:tc>
          <w:tcPr>
            <w:tcW w:w="850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1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плана</w:t>
            </w:r>
          </w:p>
        </w:tc>
      </w:tr>
      <w:tr w:rsidR="00C40BB4">
        <w:tc>
          <w:tcPr>
            <w:tcW w:w="568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326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Полевая исследовательская работа</w:t>
            </w:r>
          </w:p>
        </w:tc>
        <w:tc>
          <w:tcPr>
            <w:tcW w:w="850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Зафиксированные данные (собранные материалы)</w:t>
            </w:r>
          </w:p>
        </w:tc>
      </w:tr>
      <w:tr w:rsidR="00C40BB4">
        <w:tc>
          <w:tcPr>
            <w:tcW w:w="568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Обработка исследовательского материала</w:t>
            </w:r>
          </w:p>
        </w:tc>
        <w:tc>
          <w:tcPr>
            <w:tcW w:w="850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обработки данных (материалов)</w:t>
            </w:r>
          </w:p>
        </w:tc>
      </w:tr>
      <w:tr w:rsidR="00C40BB4">
        <w:tc>
          <w:tcPr>
            <w:tcW w:w="568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Оформление результатов исследования</w:t>
            </w:r>
          </w:p>
        </w:tc>
        <w:tc>
          <w:tcPr>
            <w:tcW w:w="850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1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и презентация</w:t>
            </w:r>
          </w:p>
        </w:tc>
      </w:tr>
      <w:tr w:rsidR="00C40BB4">
        <w:tc>
          <w:tcPr>
            <w:tcW w:w="568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6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Представление результатов исследований</w:t>
            </w:r>
          </w:p>
        </w:tc>
        <w:tc>
          <w:tcPr>
            <w:tcW w:w="850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:rsidR="00C40BB4" w:rsidRDefault="00C40B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Стендовый доклад или устный доклад с презентацией</w:t>
            </w:r>
          </w:p>
        </w:tc>
      </w:tr>
      <w:tr w:rsidR="00C40BB4">
        <w:trPr>
          <w:trHeight w:val="400"/>
        </w:trPr>
        <w:tc>
          <w:tcPr>
            <w:tcW w:w="568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Рефлексия результатов представления и обсуждения исследований</w:t>
            </w:r>
          </w:p>
        </w:tc>
        <w:tc>
          <w:tcPr>
            <w:tcW w:w="85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C40BB4" w:rsidRDefault="00C40B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Рефлексивный анализ</w:t>
            </w:r>
          </w:p>
        </w:tc>
      </w:tr>
      <w:tr w:rsidR="00C40BB4">
        <w:tc>
          <w:tcPr>
            <w:tcW w:w="568" w:type="dxa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6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Выездные занятия (подготовка к экспедиции или выездной исследовательской школе)</w:t>
            </w:r>
          </w:p>
        </w:tc>
        <w:tc>
          <w:tcPr>
            <w:tcW w:w="85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6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 по экспедиционному туризму</w:t>
            </w:r>
          </w:p>
        </w:tc>
      </w:tr>
      <w:tr w:rsidR="00C40BB4">
        <w:tc>
          <w:tcPr>
            <w:tcW w:w="3828" w:type="dxa"/>
            <w:gridSpan w:val="2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993" w:type="dxa"/>
            <w:vAlign w:val="center"/>
          </w:tcPr>
          <w:p w:rsidR="00C40BB4" w:rsidRDefault="00C161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46" w:type="dxa"/>
            <w:vAlign w:val="center"/>
          </w:tcPr>
          <w:p w:rsidR="00C40BB4" w:rsidRDefault="00C161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410" w:type="dxa"/>
          </w:tcPr>
          <w:p w:rsidR="00C40BB4" w:rsidRDefault="00C40BB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C40BB4" w:rsidRDefault="00C40B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(тематического) плана</w:t>
      </w:r>
    </w:p>
    <w:p w:rsidR="00C40BB4" w:rsidRDefault="00C40BB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BB4" w:rsidRDefault="00C1614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Цель и задачи программы, ее особенности. Этика исследовательской деятельности. Направления исследования на местности: живая природа; неживая природа; человек и общество — прошлое; человек и общество — современность.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«Исследование». Игры на проявление и развитие исследовательских способностей (наблюдательность, чувствительность к проблемам и новизне, выдвижение версий). </w:t>
      </w:r>
    </w:p>
    <w:p w:rsidR="00C40BB4" w:rsidRDefault="00C1614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Рождение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замысла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исследования на местности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поиска объекта для исследования на местности. Логика конструирования замысла исследования. 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технологии «рождение замысла на местности»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группах. Поиск объекта исследования. Конкретизация замысла. Графическая репрезентация замысла в формате постера. Проведение стендовой сессии представления и обсуждения замысла группами друг другу. Доработка образа исследовательского замысла.</w:t>
      </w:r>
    </w:p>
    <w:p w:rsidR="00C40BB4" w:rsidRDefault="00C1614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Планирование реализации исследования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Основы планирования: время, ресурсы, этапы, распределение функционала в команде.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Составление планов реализации исследования в группах. Представление плана в виде графической репрезентации пути. Презентация и обсуждение планов исследовательских групп друг другу. Корректировка плана исследования. </w:t>
      </w:r>
    </w:p>
    <w:p w:rsidR="00C40BB4" w:rsidRDefault="00C1614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Полевая исследовательская работа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 для проведения исследования. Подготовка к полевой работе (в соответствии с тематикой групп): понятия, опросные листы/бланки фиксации, принципы работы с техникой/инструментами.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исследования в мини-группах (по выбору учащихся): в направлениях «Живая природа»; «Неживая природа»; «Человек и общество — прошлое»; «Человек и общество — современность». Сбор и фиксация исследовательских материалов согласно плану исследования. Корректировка плана исследования по ходу отслеживания результативности и продуктивности сбора исследовательских материалов. Работа с различными источниками для освоения ключевых понятий, методов сбора и фиксации данных, методов архивации, систематизации и идентификации данных. Освоение и использование методов и инструментов в соответствии с выбранным объектом исследования. Выходы в «поле» по этапам: освоение и первичное применение методов; плановый сбор данных; перепроверка или уточнение данных (при необходимости). </w:t>
      </w:r>
    </w:p>
    <w:p w:rsidR="00C40BB4" w:rsidRDefault="00C1614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исследовательского материала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и методы архивации, систематизации, обработки данных. Базы данных, математические методы анализа данных, качественные методы анализа данных и др. (в зависимости от плана и объекта исследования).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Обработка собранных материалов, данных: качественные, количественные, качественно-количественные и иные методы (в зависимости от объекта и плана исследования). 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(Разделы 4 и 5 могут объединяться и перемежаться в зависимости от плана исследования.)</w:t>
      </w:r>
    </w:p>
    <w:p w:rsidR="00C40BB4" w:rsidRDefault="00C1614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результатов исследования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Форматы и требования к оформлению при представлении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результатов исследования.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результатов исследования в трех форматах: текст, стенд и презентация. </w:t>
      </w:r>
    </w:p>
    <w:p w:rsidR="00C40BB4" w:rsidRDefault="00C1614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результатов исследований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результатов исследования: 1 — текст (представляется предварительно и получает экспертную обратную связь от профильного специалиста); 2 — стенд/постер (представляется другим группам, происходит знакомство с результатами исследования разных групп, взаимная экспертиза); 3 — устный доклад с презентацией с обсуждением с внешними экспертами. </w:t>
      </w:r>
    </w:p>
    <w:p w:rsidR="00C40BB4" w:rsidRDefault="00C1614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результатов представления и обсуждения исследований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взаимной экспертизы, экспертизы внешних экспертов. Анализ движения по плану исследования: 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и как корректировалось? 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удалость реализовать, а что нет и почему? 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Чему научились? </w:t>
      </w:r>
    </w:p>
    <w:p w:rsidR="00C40BB4" w:rsidRDefault="00C16146">
      <w:pPr>
        <w:widowControl w:val="0"/>
        <w:shd w:val="clear" w:color="auto" w:fill="FFFFFF"/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задачи развития стоят на дальнейшее? </w:t>
      </w:r>
    </w:p>
    <w:p w:rsidR="00C40BB4" w:rsidRDefault="00C1614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Выездные занятия (подготовка к экспедиции или выездной исследовательской школе)</w:t>
      </w:r>
    </w:p>
    <w:p w:rsidR="00C40BB4" w:rsidRDefault="00C16146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на выезде: при перемещении, в населенных пунктах, вне населенных пунктов. Походный быт. Пешие переходы. Первая медицинская помощь.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Топография и ориентирование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(условные знаки топографических карт; масштаб и его виды; особенности изображения местности на картах; компас; правила ориентирования на местности; способы ориентирования по местным признакам; действия в случае потери ориентировки; характеристика местности по карте).</w:t>
      </w:r>
    </w:p>
    <w:p w:rsidR="00C40BB4" w:rsidRDefault="00C16146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походного быта. Передвижение по пересеченной местности. Ориентирование: по легенде, в заданном направлении, по обозначенному на карте маршруту. Составление маршрутного листа экспедиции.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Применение полевых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краеведческого исследования на незнакомой местности (в соответствии с направлением исследования). Физико-географическая характеристика местности. Описание рельефа местности. Видовое разнообразие флоры и фауны.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природного комплекса. Социокультурные характеристики местности. Описание социокультурных объектов и характеристик населения. </w:t>
      </w:r>
    </w:p>
    <w:p w:rsidR="00C40BB4" w:rsidRDefault="00C40B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BB4" w:rsidRDefault="00C161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и оценочные материалы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контроля (аттестации) и способы определения результативности освоения программы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освоения программы отслеживается по представленному проекту мини-исследования.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предварительный — беседа с элементами тестирования;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промежуточный — представление замысла, плана и промежуточных результатов исследования;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итоговый — представление итогов проведенных исследований.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содержание итоговых занятий: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презентация итогов исследовательской работы;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подготовка к исследовательской экспедиции.</w:t>
      </w:r>
    </w:p>
    <w:p w:rsidR="00C40BB4" w:rsidRDefault="00C40B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BB4" w:rsidRDefault="00C161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программы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 программы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местности.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листы для сбора информации.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фиксации.</w:t>
      </w:r>
    </w:p>
    <w:p w:rsidR="00C40BB4" w:rsidRDefault="00C16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 программы (подробный список)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– Помещение: учебный кабинет, рассчитанный на группу до 25 человек, стулья по количеству учащихся; столы.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– Оборудование для демонстрации презентаций, аудио- и видеоматериалов, ПК с возможностью выхода в Интернет, мультимедиа-проектор, экран,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флипчарт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/доска (для помещения).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– Техническое оборудование для полевых исследований: 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Видеокамера – 2шт, фотоаппарат – 1шт., диктофон,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бинокуляры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;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набор для экологического мониторинга – 5 шт.;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метеорологическая будка;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чашки Петри, рабочие перчатки -10 шт., щетки для мытья образцов, ведро, сито, пластиковые ложки.</w:t>
      </w:r>
    </w:p>
    <w:p w:rsidR="00C40BB4" w:rsidRDefault="00C1614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Условия реализации: занятия проходят с выходом на местность (парк или на территории образовательной организации), а также с выездом на природные и/или культурные объекты.</w:t>
      </w:r>
    </w:p>
    <w:p w:rsidR="0057052E" w:rsidRDefault="0057052E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C40BB4" w:rsidRDefault="00C161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РГГУ. № 6(86). Серия «Исторические науки. Региональная история. Краеведение» / отв. ред. С.О. Шмидт. М.: РГГУ, 2012.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Голубицкий А.В.,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Талецкая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Т.А., Голубицкий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Сетевое взаимодействие образовательных организаций в исследовательском краеведении и экологическом образовании // Исследователь/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2019. № 4. С. 280–284.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Девятайкина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деятельность школьников на уроках истории: содержание и организация: учебное пособие. М.: МПГУ, 2018.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Игольницына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экологических заданий, деловых игр, лабораторный и полевой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экопрактикумы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химии, биологии, географии, физике). Иркутск: Изд-во Иркут. ун-та, 1996.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и проектная деятельность учащихся: программы и методические разработки гуманитарной направленности / сост.: А.С. Обухов. М.: Б-ка журнала «Исследователь/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2018.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и проектировать: на уроке и за его пределами / сост.: А.С. Обухов. М.: Б-ка журнала «Исследователь/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2018.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 В.Ф.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краеведческая периодика 1990–2003 // Отчеств. арх. 2004. № 2. С. 45–50.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Колобовский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 ландшафты России. Ярославль: Академия развития, 2004.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Косова Л.С.,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Льготина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Краеведение: Учебно-методическое пособие. Томск: Изд. дом Томского государственного у-та, 2014.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 в России. История. Современное состояние, перспективы развития / отв. ред. С.О. Шмидт. М.: АНО ИЦ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2004.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Лукиева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Историческое краеведение. Учеб. пособие. Томск: Том.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ун-т, 2003.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Научно-практическое образование, исследовательское обучение, STEAM-образование: новые типы образовательных ситуаций: Сборник докладов IX Международной научно-практической конференции «Исследовательская деятельность учащихся в современном образовательном пространстве» / под общ. ред. А.С. Обухова. Т. 1. М.: МОД «Исследователь», 2018.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Никонова 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Краеведение: учеб. пособие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М.: Издательский центр «Академия», 2009.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Новикова Л.И., Трубина Е.И.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Краеведческие периодические издания Российской Федерации на рубеже веков: пути и особенности развития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Библиосфера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2011. № 2. С. 59–66.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Обухов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Выездная исследовательская школа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 модель исследования мира вокруг // Исследователь/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2019. № 4. С. 103–129.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Обухов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Исследовательское краеведение: изучение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хронотопа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вокруг себя // Исследователь/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2019. № 4. С. 6–11.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Обухов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Рождение замысла исследования: выход за пределы заданного // Исследователь/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2019. № 4. С. 73–102.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Обухов А.С., Глазунова О.В., Ежова О.Ф.,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Рытикова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исследовательского центра «Точка варения» в парке «Усадьба Трубецких в Хамовниках» // Исследователь/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2019. № 4. С. 57–72.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Обухов А.С., Глазунова О.В., Проценко Л.М.,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Кожаринов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Краеведение. М.: ФГБОУ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ФЦДЮКиТ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управление исследовательской и проектной деятельностью учащихся: сборник программ и методических разработок / ред.-сост. А.С. Обухов. М.: Исследователь/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потенциалов и универсальных способностей учащихся в исследовательской и проектной деятельности / сост.: А.С. Обухов. М.: Б-ка журнала «Исследователь/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2018.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Фролов 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 в российской традиции // Музей. 2015. № 4. С. 20–21.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Фролов 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Культурно-познавательный туризм: объекты, маршруты, люди // Справочник руководителя учреждения культуры. 2012. № 3. С. 88–92. 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Шаповал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модели исследовательской компетенции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// Исследователь/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2019. № 3. С. 76–108.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Шмакова Г.В.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Краеведение: учеб. пособие для СПО. 2-е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</w:t>
      </w:r>
    </w:p>
    <w:p w:rsidR="00C40BB4" w:rsidRDefault="00C1614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Шмидт С.О.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 и документальные памятники. Тверь: Ком.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информпечати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МП «Алтей», 1992. </w:t>
      </w:r>
    </w:p>
    <w:p w:rsidR="00C40BB4" w:rsidRDefault="00C40B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35" w:rsidRDefault="00CD0035">
      <w:pPr>
        <w:spacing w:after="0" w:line="240" w:lineRule="auto"/>
      </w:pPr>
      <w:r>
        <w:separator/>
      </w:r>
    </w:p>
  </w:endnote>
  <w:endnote w:type="continuationSeparator" w:id="0">
    <w:p w:rsidR="00CD0035" w:rsidRDefault="00CD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B4" w:rsidRDefault="00C1614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57052E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35" w:rsidRDefault="00CD0035">
      <w:pPr>
        <w:spacing w:after="0" w:line="240" w:lineRule="auto"/>
      </w:pPr>
      <w:r>
        <w:separator/>
      </w:r>
    </w:p>
  </w:footnote>
  <w:footnote w:type="continuationSeparator" w:id="0">
    <w:p w:rsidR="00CD0035" w:rsidRDefault="00CD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D6416"/>
    <w:multiLevelType w:val="multilevel"/>
    <w:tmpl w:val="B26ED2E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D537511"/>
    <w:multiLevelType w:val="hybridMultilevel"/>
    <w:tmpl w:val="C40CB9F0"/>
    <w:lvl w:ilvl="0" w:tplc="AB7AF8CE">
      <w:start w:val="1"/>
      <w:numFmt w:val="decimal"/>
      <w:lvlText w:val="%1."/>
      <w:lvlJc w:val="left"/>
      <w:pPr>
        <w:ind w:left="360" w:hanging="360"/>
      </w:pPr>
    </w:lvl>
    <w:lvl w:ilvl="1" w:tplc="7E1A0D42">
      <w:start w:val="1"/>
      <w:numFmt w:val="lowerLetter"/>
      <w:lvlText w:val="%2."/>
      <w:lvlJc w:val="left"/>
      <w:pPr>
        <w:ind w:left="1440" w:hanging="360"/>
      </w:pPr>
    </w:lvl>
    <w:lvl w:ilvl="2" w:tplc="041E2E0E">
      <w:start w:val="1"/>
      <w:numFmt w:val="lowerRoman"/>
      <w:lvlText w:val="%3."/>
      <w:lvlJc w:val="right"/>
      <w:pPr>
        <w:ind w:left="2160" w:hanging="180"/>
      </w:pPr>
    </w:lvl>
    <w:lvl w:ilvl="3" w:tplc="2F808654">
      <w:start w:val="1"/>
      <w:numFmt w:val="decimal"/>
      <w:lvlText w:val="%4."/>
      <w:lvlJc w:val="left"/>
      <w:pPr>
        <w:ind w:left="2880" w:hanging="360"/>
      </w:pPr>
    </w:lvl>
    <w:lvl w:ilvl="4" w:tplc="DAF2246E">
      <w:start w:val="1"/>
      <w:numFmt w:val="lowerLetter"/>
      <w:lvlText w:val="%5."/>
      <w:lvlJc w:val="left"/>
      <w:pPr>
        <w:ind w:left="3600" w:hanging="360"/>
      </w:pPr>
    </w:lvl>
    <w:lvl w:ilvl="5" w:tplc="1CE4A18C">
      <w:start w:val="1"/>
      <w:numFmt w:val="lowerRoman"/>
      <w:lvlText w:val="%6."/>
      <w:lvlJc w:val="right"/>
      <w:pPr>
        <w:ind w:left="4320" w:hanging="180"/>
      </w:pPr>
    </w:lvl>
    <w:lvl w:ilvl="6" w:tplc="F5D8F316">
      <w:start w:val="1"/>
      <w:numFmt w:val="decimal"/>
      <w:lvlText w:val="%7."/>
      <w:lvlJc w:val="left"/>
      <w:pPr>
        <w:ind w:left="5040" w:hanging="360"/>
      </w:pPr>
    </w:lvl>
    <w:lvl w:ilvl="7" w:tplc="5906C498">
      <w:start w:val="1"/>
      <w:numFmt w:val="lowerLetter"/>
      <w:lvlText w:val="%8."/>
      <w:lvlJc w:val="left"/>
      <w:pPr>
        <w:ind w:left="5760" w:hanging="360"/>
      </w:pPr>
    </w:lvl>
    <w:lvl w:ilvl="8" w:tplc="B5D2C5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B4"/>
    <w:rsid w:val="0057052E"/>
    <w:rsid w:val="00AF2059"/>
    <w:rsid w:val="00C16146"/>
    <w:rsid w:val="00C40BB4"/>
    <w:rsid w:val="00C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5FCE"/>
  <w15:docId w15:val="{BA759732-19FA-4DCB-A90E-76C841F7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2860</Words>
  <Characters>16305</Characters>
  <Application>Microsoft Office Word</Application>
  <DocSecurity>0</DocSecurity>
  <Lines>135</Lines>
  <Paragraphs>38</Paragraphs>
  <ScaleCrop>false</ScaleCrop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C. Полищук</dc:creator>
  <cp:keywords/>
  <dc:description/>
  <cp:lastModifiedBy>Светлана C. Полищук</cp:lastModifiedBy>
  <cp:revision>16</cp:revision>
  <dcterms:created xsi:type="dcterms:W3CDTF">2024-12-11T06:35:00Z</dcterms:created>
  <dcterms:modified xsi:type="dcterms:W3CDTF">2024-12-13T11:42:00Z</dcterms:modified>
</cp:coreProperties>
</file>